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4A56" w14:textId="77777777" w:rsidR="009B183D" w:rsidRDefault="009B183D" w:rsidP="009B7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Sheet – </w:t>
      </w:r>
      <w:r w:rsidR="00E81E27">
        <w:rPr>
          <w:b/>
          <w:sz w:val="28"/>
          <w:szCs w:val="28"/>
        </w:rPr>
        <w:t>Nájemní smlouva</w:t>
      </w:r>
      <w:r>
        <w:rPr>
          <w:b/>
          <w:sz w:val="28"/>
          <w:szCs w:val="28"/>
        </w:rPr>
        <w:t xml:space="preserve"> </w:t>
      </w:r>
    </w:p>
    <w:p w14:paraId="0CF49066" w14:textId="77777777" w:rsidR="009B183D" w:rsidRDefault="009B183D" w:rsidP="009B778D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0425"/>
      </w:tblGrid>
      <w:tr w:rsidR="00C66147" w:rsidRPr="00AE5449" w14:paraId="471E5745" w14:textId="77777777" w:rsidTr="00C65B2C">
        <w:trPr>
          <w:trHeight w:val="553"/>
        </w:trPr>
        <w:tc>
          <w:tcPr>
            <w:tcW w:w="1334" w:type="pct"/>
            <w:vMerge w:val="restart"/>
            <w:shd w:val="clear" w:color="auto" w:fill="D9D9D9"/>
          </w:tcPr>
          <w:p w14:paraId="1D5453A7" w14:textId="77777777" w:rsidR="00C66147" w:rsidRPr="00C66147" w:rsidRDefault="00C66147" w:rsidP="00C66147">
            <w:pPr>
              <w:tabs>
                <w:tab w:val="center" w:pos="2054"/>
              </w:tabs>
              <w:spacing w:before="120" w:after="120"/>
              <w:rPr>
                <w:b/>
                <w:sz w:val="24"/>
                <w:szCs w:val="24"/>
              </w:rPr>
            </w:pPr>
            <w:r w:rsidRPr="00C66147">
              <w:rPr>
                <w:b/>
                <w:sz w:val="24"/>
                <w:szCs w:val="24"/>
              </w:rPr>
              <w:t>Smluvní strany</w:t>
            </w:r>
            <w:r w:rsidRPr="00C66147">
              <w:rPr>
                <w:b/>
                <w:sz w:val="24"/>
                <w:szCs w:val="24"/>
              </w:rPr>
              <w:tab/>
            </w:r>
          </w:p>
        </w:tc>
        <w:tc>
          <w:tcPr>
            <w:tcW w:w="3666" w:type="pct"/>
          </w:tcPr>
          <w:p w14:paraId="4719E2CB" w14:textId="1DF5AA93" w:rsidR="00C66147" w:rsidRPr="00C66147" w:rsidRDefault="00E81E27" w:rsidP="0066755F">
            <w:pPr>
              <w:spacing w:before="120" w:after="120"/>
              <w:rPr>
                <w:sz w:val="24"/>
                <w:szCs w:val="24"/>
              </w:rPr>
            </w:pPr>
            <w:r>
              <w:t>Jaromír Jablíčko, narozen dne 2</w:t>
            </w:r>
            <w:r w:rsidR="00C57DEF">
              <w:t>9</w:t>
            </w:r>
            <w:r>
              <w:t xml:space="preserve">. </w:t>
            </w:r>
            <w:r w:rsidR="00C57DEF">
              <w:t>02</w:t>
            </w:r>
            <w:r>
              <w:t>. 19</w:t>
            </w:r>
            <w:r w:rsidR="00C57DEF">
              <w:t>56</w:t>
            </w:r>
            <w:r>
              <w:t xml:space="preserve">, bytem </w:t>
            </w:r>
            <w:bookmarkStart w:id="0" w:name="_Hlk527809495"/>
            <w:r w:rsidRPr="00E81E27">
              <w:t>Heřmánky 48</w:t>
            </w:r>
            <w:r>
              <w:t>, Dubá, PSČ 472 01</w:t>
            </w:r>
            <w:bookmarkEnd w:id="0"/>
            <w:r w:rsidR="00C66147">
              <w:rPr>
                <w:sz w:val="24"/>
                <w:szCs w:val="24"/>
              </w:rPr>
              <w:t xml:space="preserve"> (dále jen „</w:t>
            </w:r>
            <w:r>
              <w:rPr>
                <w:b/>
                <w:sz w:val="24"/>
                <w:szCs w:val="24"/>
              </w:rPr>
              <w:t>Pronajímatel</w:t>
            </w:r>
            <w:r w:rsidR="00C66147">
              <w:rPr>
                <w:sz w:val="24"/>
                <w:szCs w:val="24"/>
              </w:rPr>
              <w:t>“)</w:t>
            </w:r>
            <w:r w:rsidR="00CA69A4">
              <w:rPr>
                <w:sz w:val="24"/>
                <w:szCs w:val="24"/>
              </w:rPr>
              <w:t>, který je podnikatelem v oblasti pronajímání hal a obchodních prostor.</w:t>
            </w:r>
          </w:p>
        </w:tc>
      </w:tr>
      <w:tr w:rsidR="00C66147" w:rsidRPr="00AE5449" w14:paraId="56FD832C" w14:textId="77777777" w:rsidTr="00C65B2C">
        <w:trPr>
          <w:trHeight w:val="552"/>
        </w:trPr>
        <w:tc>
          <w:tcPr>
            <w:tcW w:w="1334" w:type="pct"/>
            <w:vMerge/>
            <w:shd w:val="clear" w:color="auto" w:fill="D9D9D9"/>
          </w:tcPr>
          <w:p w14:paraId="7206BD84" w14:textId="77777777" w:rsidR="00C66147" w:rsidRPr="00C66147" w:rsidRDefault="00C66147" w:rsidP="008564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14:paraId="07A16DCA" w14:textId="2C9B740D" w:rsidR="00C66147" w:rsidRPr="00C66147" w:rsidRDefault="00E81E27" w:rsidP="00C66147">
            <w:pPr>
              <w:spacing w:before="120" w:after="120"/>
              <w:rPr>
                <w:sz w:val="24"/>
                <w:szCs w:val="24"/>
              </w:rPr>
            </w:pPr>
            <w:r>
              <w:t xml:space="preserve">Best </w:t>
            </w:r>
            <w:proofErr w:type="spellStart"/>
            <w:r>
              <w:t>Rents</w:t>
            </w:r>
            <w:proofErr w:type="spellEnd"/>
            <w:r>
              <w:t xml:space="preserve"> a.s., se sídlem </w:t>
            </w:r>
            <w:bookmarkStart w:id="1" w:name="_Hlk527809714"/>
            <w:r>
              <w:t>Jungmannova 24, Praha 1, PSČ 100 00</w:t>
            </w:r>
            <w:bookmarkEnd w:id="1"/>
            <w:r>
              <w:t xml:space="preserve">, IČO: </w:t>
            </w:r>
            <w:r w:rsidR="00C57DEF">
              <w:t>666 00 420</w:t>
            </w:r>
            <w:r w:rsidR="00C66147">
              <w:rPr>
                <w:sz w:val="24"/>
                <w:szCs w:val="24"/>
              </w:rPr>
              <w:t xml:space="preserve"> (dále jen „</w:t>
            </w:r>
            <w:r w:rsidR="00797AB3" w:rsidRPr="00797AB3">
              <w:rPr>
                <w:b/>
                <w:sz w:val="24"/>
                <w:szCs w:val="24"/>
              </w:rPr>
              <w:t>Nájemce</w:t>
            </w:r>
            <w:r w:rsidR="00C66147">
              <w:rPr>
                <w:sz w:val="24"/>
                <w:szCs w:val="24"/>
              </w:rPr>
              <w:t>“)</w:t>
            </w:r>
          </w:p>
        </w:tc>
      </w:tr>
      <w:tr w:rsidR="00C66147" w:rsidRPr="00AE5449" w14:paraId="24FB8D28" w14:textId="77777777" w:rsidTr="00C65B2C">
        <w:tc>
          <w:tcPr>
            <w:tcW w:w="1334" w:type="pct"/>
            <w:shd w:val="clear" w:color="auto" w:fill="D9D9D9"/>
          </w:tcPr>
          <w:p w14:paraId="569E0FF1" w14:textId="77777777" w:rsidR="00C66147" w:rsidRPr="00C66147" w:rsidRDefault="00C66147" w:rsidP="00856473">
            <w:pPr>
              <w:spacing w:before="120" w:after="120"/>
              <w:rPr>
                <w:b/>
                <w:sz w:val="24"/>
                <w:szCs w:val="24"/>
              </w:rPr>
            </w:pPr>
            <w:r w:rsidRPr="00C66147">
              <w:rPr>
                <w:b/>
                <w:sz w:val="24"/>
                <w:szCs w:val="24"/>
              </w:rPr>
              <w:t xml:space="preserve">Specifikace </w:t>
            </w:r>
            <w:r w:rsidR="00E81E27">
              <w:rPr>
                <w:b/>
                <w:sz w:val="24"/>
                <w:szCs w:val="24"/>
              </w:rPr>
              <w:t>nájmu</w:t>
            </w:r>
          </w:p>
        </w:tc>
        <w:tc>
          <w:tcPr>
            <w:tcW w:w="3666" w:type="pct"/>
          </w:tcPr>
          <w:p w14:paraId="08D66C0B" w14:textId="425A0993" w:rsidR="004309DC" w:rsidRPr="00C9391E" w:rsidRDefault="00E81E27" w:rsidP="004309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výrobní haly</w:t>
            </w:r>
            <w:r w:rsidR="006340F3">
              <w:rPr>
                <w:sz w:val="24"/>
                <w:szCs w:val="24"/>
              </w:rPr>
              <w:t>, která má sloužit pro účely výroby</w:t>
            </w:r>
            <w:r w:rsidR="003502F8">
              <w:rPr>
                <w:sz w:val="24"/>
                <w:szCs w:val="24"/>
              </w:rPr>
              <w:t xml:space="preserve"> a</w:t>
            </w:r>
            <w:r w:rsidR="00EA4880">
              <w:rPr>
                <w:sz w:val="24"/>
                <w:szCs w:val="24"/>
              </w:rPr>
              <w:t xml:space="preserve"> skladování </w:t>
            </w:r>
            <w:r w:rsidR="00C9391E">
              <w:rPr>
                <w:sz w:val="24"/>
                <w:szCs w:val="24"/>
              </w:rPr>
              <w:t xml:space="preserve">o rozloze </w:t>
            </w:r>
            <w:r w:rsidR="00BF6D9B">
              <w:rPr>
                <w:sz w:val="24"/>
                <w:szCs w:val="24"/>
              </w:rPr>
              <w:t>10</w:t>
            </w:r>
            <w:r w:rsidR="00BF6D9B" w:rsidRPr="00830AE4">
              <w:rPr>
                <w:sz w:val="24"/>
                <w:szCs w:val="24"/>
              </w:rPr>
              <w:t>00</w:t>
            </w:r>
            <w:r w:rsidR="00BF6D9B">
              <w:rPr>
                <w:sz w:val="24"/>
                <w:szCs w:val="24"/>
              </w:rPr>
              <w:t xml:space="preserve"> </w:t>
            </w:r>
            <w:r w:rsidR="00C9391E">
              <w:rPr>
                <w:sz w:val="24"/>
                <w:szCs w:val="24"/>
              </w:rPr>
              <w:t>m</w:t>
            </w:r>
            <w:r w:rsidR="00C9391E" w:rsidRPr="00797AB3">
              <w:rPr>
                <w:sz w:val="24"/>
                <w:szCs w:val="24"/>
                <w:vertAlign w:val="superscript"/>
              </w:rPr>
              <w:t>2</w:t>
            </w:r>
            <w:r w:rsidR="00C9391E">
              <w:rPr>
                <w:sz w:val="24"/>
                <w:szCs w:val="24"/>
              </w:rPr>
              <w:t xml:space="preserve">. </w:t>
            </w:r>
          </w:p>
        </w:tc>
      </w:tr>
      <w:tr w:rsidR="00607F0B" w:rsidRPr="00AE5449" w14:paraId="0C81E876" w14:textId="77777777" w:rsidTr="00C65B2C">
        <w:tc>
          <w:tcPr>
            <w:tcW w:w="1334" w:type="pct"/>
            <w:shd w:val="clear" w:color="auto" w:fill="D9D9D9"/>
          </w:tcPr>
          <w:p w14:paraId="616302FB" w14:textId="77777777" w:rsidR="00607F0B" w:rsidRPr="00C66147" w:rsidRDefault="00EA4880" w:rsidP="00607F0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 nájmu</w:t>
            </w:r>
          </w:p>
        </w:tc>
        <w:tc>
          <w:tcPr>
            <w:tcW w:w="3666" w:type="pct"/>
          </w:tcPr>
          <w:p w14:paraId="2E765404" w14:textId="00D123D8" w:rsidR="00607F0B" w:rsidRPr="00C66147" w:rsidRDefault="000A4A47" w:rsidP="004E15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Smluvní strany se dohodly, že </w:t>
            </w:r>
            <w:r w:rsidR="0004426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ájemce bude oprávněn fakticky </w:t>
            </w:r>
            <w:r w:rsidR="00EA488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žívat předmět nájmu</w:t>
            </w:r>
            <w:r w:rsidR="00EA4880">
              <w:rPr>
                <w:sz w:val="24"/>
                <w:szCs w:val="24"/>
              </w:rPr>
              <w:t xml:space="preserve"> od 1. </w:t>
            </w:r>
            <w:r w:rsidR="00CA69A4">
              <w:rPr>
                <w:sz w:val="24"/>
                <w:szCs w:val="24"/>
              </w:rPr>
              <w:t>4</w:t>
            </w:r>
            <w:r w:rsidR="00EA4880">
              <w:rPr>
                <w:sz w:val="24"/>
                <w:szCs w:val="24"/>
              </w:rPr>
              <w:t xml:space="preserve">. 2019 do </w:t>
            </w:r>
            <w:r>
              <w:rPr>
                <w:sz w:val="24"/>
                <w:szCs w:val="24"/>
              </w:rPr>
              <w:t>1</w:t>
            </w:r>
            <w:r w:rsidR="00EA48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</w:t>
            </w:r>
            <w:r w:rsidR="00EA4880">
              <w:rPr>
                <w:sz w:val="24"/>
                <w:szCs w:val="24"/>
              </w:rPr>
              <w:t>. 2030</w:t>
            </w:r>
            <w:r w:rsidR="00607F0B">
              <w:rPr>
                <w:sz w:val="24"/>
                <w:szCs w:val="24"/>
              </w:rPr>
              <w:t xml:space="preserve">. </w:t>
            </w:r>
            <w:r w:rsidR="004A4234">
              <w:rPr>
                <w:sz w:val="24"/>
                <w:szCs w:val="24"/>
              </w:rPr>
              <w:t xml:space="preserve">Nájemce dále trvá na tom, že nájemní smlouva může být prodloužena výhradně jednáním stran v písemné formě. </w:t>
            </w:r>
          </w:p>
        </w:tc>
      </w:tr>
      <w:tr w:rsidR="00C66147" w:rsidRPr="00AE5449" w14:paraId="1CEAB428" w14:textId="77777777" w:rsidTr="00C65B2C">
        <w:tc>
          <w:tcPr>
            <w:tcW w:w="1334" w:type="pct"/>
            <w:shd w:val="clear" w:color="auto" w:fill="D9D9D9"/>
          </w:tcPr>
          <w:p w14:paraId="6EBFA386" w14:textId="56C4B475" w:rsidR="00C66147" w:rsidRPr="00C66147" w:rsidRDefault="00733044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Ukončení smlouvy</w:t>
            </w:r>
          </w:p>
        </w:tc>
        <w:tc>
          <w:tcPr>
            <w:tcW w:w="3666" w:type="pct"/>
          </w:tcPr>
          <w:p w14:paraId="36769450" w14:textId="5876A0E2" w:rsidR="00733044" w:rsidRDefault="00733044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 se dohodly, že nájemní smlouva bude komplexně upravovat veškeré způsoby jejího ukončení. Bylo dohodnuto, že Pronajímatel je oprávněn vypovědět smlouvu zejména v případě:</w:t>
            </w:r>
          </w:p>
          <w:p w14:paraId="5A06F0D1" w14:textId="7258D515" w:rsidR="00733044" w:rsidRDefault="00733044" w:rsidP="00733044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déletrvajícího prodlení </w:t>
            </w:r>
            <w:r w:rsidR="0004426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ájemce;</w:t>
            </w:r>
          </w:p>
          <w:p w14:paraId="2916C915" w14:textId="01B4F168" w:rsidR="00733044" w:rsidRDefault="00733044" w:rsidP="00733044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užívání předmětu nájmu v rozporu s nájemní smlouvou;</w:t>
            </w:r>
          </w:p>
          <w:p w14:paraId="159DE16D" w14:textId="00B2EA2E" w:rsidR="00BE5E63" w:rsidRDefault="00BE5E63" w:rsidP="00733044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má být odstraněna;</w:t>
            </w:r>
          </w:p>
          <w:p w14:paraId="6ACE9696" w14:textId="1889DFC1" w:rsidR="00BE5E63" w:rsidRDefault="00BE5E63" w:rsidP="00733044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opakované porušování povinnost</w:t>
            </w:r>
            <w:r w:rsidR="00A65F25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z nájemní smlouvy Nájemcem;</w:t>
            </w:r>
          </w:p>
          <w:p w14:paraId="0CA7D032" w14:textId="5A5CE4DA" w:rsidR="00633F59" w:rsidRPr="00A65F25" w:rsidRDefault="00BE5E63" w:rsidP="00A65F25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Nájemci hrozí insolvence;</w:t>
            </w:r>
          </w:p>
        </w:tc>
      </w:tr>
      <w:tr w:rsidR="00C66147" w:rsidRPr="00AE5449" w14:paraId="03DB3D47" w14:textId="77777777" w:rsidTr="00C65B2C">
        <w:tc>
          <w:tcPr>
            <w:tcW w:w="1334" w:type="pct"/>
            <w:shd w:val="clear" w:color="auto" w:fill="D9D9D9"/>
          </w:tcPr>
          <w:p w14:paraId="730E1987" w14:textId="77777777" w:rsidR="00C66147" w:rsidRPr="00C66147" w:rsidRDefault="00525A49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Nájemné</w:t>
            </w:r>
          </w:p>
        </w:tc>
        <w:tc>
          <w:tcPr>
            <w:tcW w:w="3666" w:type="pct"/>
          </w:tcPr>
          <w:p w14:paraId="7EF63651" w14:textId="23D4C372" w:rsidR="00797AB3" w:rsidRDefault="00525A49" w:rsidP="000D07FF">
            <w:pPr>
              <w:spacing w:before="120" w:after="120"/>
              <w:rPr>
                <w:sz w:val="24"/>
                <w:szCs w:val="24"/>
              </w:rPr>
            </w:pPr>
            <w:r w:rsidRPr="00AE4777">
              <w:rPr>
                <w:sz w:val="24"/>
                <w:szCs w:val="24"/>
              </w:rPr>
              <w:t>Smluvní strany se shodly na indexovaném měsíčním nájemném zohledňujícím budoucí hospodářský vývoj</w:t>
            </w:r>
            <w:r w:rsidR="003502F8">
              <w:rPr>
                <w:sz w:val="24"/>
                <w:szCs w:val="24"/>
              </w:rPr>
              <w:t>.</w:t>
            </w:r>
          </w:p>
          <w:p w14:paraId="468EBF61" w14:textId="42A68F1F" w:rsidR="00797AB3" w:rsidRDefault="00797AB3" w:rsidP="000D07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Smluvní strany se dále dohodly, že výše nájemného by měla v průběhu doby nájmu reflektovat míru obsazenosti </w:t>
            </w:r>
            <w:r w:rsidRPr="00830AE4">
              <w:rPr>
                <w:sz w:val="24"/>
                <w:szCs w:val="24"/>
              </w:rPr>
              <w:t>výrobní</w:t>
            </w:r>
            <w:r>
              <w:rPr>
                <w:sz w:val="24"/>
                <w:szCs w:val="24"/>
              </w:rPr>
              <w:t xml:space="preserve"> haly</w:t>
            </w:r>
            <w:r w:rsidR="000442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to následujícím způsobem: </w:t>
            </w:r>
          </w:p>
          <w:p w14:paraId="6D50D31D" w14:textId="77777777" w:rsidR="00797AB3" w:rsidRDefault="00797AB3" w:rsidP="00797AB3">
            <w:pPr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obsazenost vyšší než 80 % = zvýšení nájemného o 10 %;</w:t>
            </w:r>
          </w:p>
          <w:p w14:paraId="50BFE86F" w14:textId="154BAC65" w:rsidR="00797AB3" w:rsidRDefault="00044260" w:rsidP="007162E5">
            <w:pPr>
              <w:numPr>
                <w:ilvl w:val="0"/>
                <w:numId w:val="6"/>
              </w:numPr>
              <w:spacing w:before="120" w:after="120"/>
              <w:ind w:left="57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97AB3">
              <w:rPr>
                <w:sz w:val="24"/>
                <w:szCs w:val="24"/>
              </w:rPr>
              <w:t xml:space="preserve">ronajímatel dále souhlasil s možností snížení nájemného v určitých případech; první návrh </w:t>
            </w:r>
            <w:r w:rsidR="00797AB3">
              <w:rPr>
                <w:sz w:val="24"/>
                <w:szCs w:val="24"/>
              </w:rPr>
              <w:lastRenderedPageBreak/>
              <w:t>takového ustanovení</w:t>
            </w:r>
            <w:r>
              <w:rPr>
                <w:sz w:val="24"/>
                <w:szCs w:val="24"/>
              </w:rPr>
              <w:t xml:space="preserve"> </w:t>
            </w:r>
            <w:r w:rsidR="00797AB3">
              <w:rPr>
                <w:sz w:val="24"/>
                <w:szCs w:val="24"/>
              </w:rPr>
              <w:t xml:space="preserve">očekává </w:t>
            </w:r>
            <w:r>
              <w:rPr>
                <w:sz w:val="24"/>
                <w:szCs w:val="24"/>
              </w:rPr>
              <w:t xml:space="preserve">Pronajímatel </w:t>
            </w:r>
            <w:r w:rsidR="00797AB3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N</w:t>
            </w:r>
            <w:r w:rsidR="00797AB3">
              <w:rPr>
                <w:sz w:val="24"/>
                <w:szCs w:val="24"/>
              </w:rPr>
              <w:t xml:space="preserve">ájemce. </w:t>
            </w:r>
          </w:p>
          <w:p w14:paraId="6D44CF8D" w14:textId="17A0840E" w:rsidR="00C66147" w:rsidRPr="00AE4777" w:rsidRDefault="00AE4777" w:rsidP="000D07FF">
            <w:pPr>
              <w:spacing w:before="120" w:after="120"/>
              <w:rPr>
                <w:sz w:val="24"/>
                <w:szCs w:val="24"/>
              </w:rPr>
            </w:pPr>
            <w:r w:rsidRPr="00AE4777">
              <w:rPr>
                <w:sz w:val="24"/>
                <w:szCs w:val="24"/>
              </w:rPr>
              <w:t>V</w:t>
            </w:r>
            <w:r w:rsidR="00525A49" w:rsidRPr="00AE4777">
              <w:rPr>
                <w:sz w:val="24"/>
                <w:szCs w:val="24"/>
              </w:rPr>
              <w:t>ýchozí výš</w:t>
            </w:r>
            <w:r w:rsidRPr="00AE4777">
              <w:rPr>
                <w:sz w:val="24"/>
                <w:szCs w:val="24"/>
              </w:rPr>
              <w:t>e</w:t>
            </w:r>
            <w:r w:rsidR="00525A49" w:rsidRPr="00AE4777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3502F8">
              <w:rPr>
                <w:sz w:val="24"/>
                <w:szCs w:val="24"/>
              </w:rPr>
              <w:t xml:space="preserve">nájemného </w:t>
            </w:r>
            <w:r w:rsidR="00797AB3">
              <w:rPr>
                <w:sz w:val="24"/>
                <w:szCs w:val="24"/>
              </w:rPr>
              <w:t>pro první rok doby trvání nájmu</w:t>
            </w:r>
            <w:r w:rsidR="00525A49" w:rsidRPr="00AE4777">
              <w:rPr>
                <w:sz w:val="24"/>
                <w:szCs w:val="24"/>
              </w:rPr>
              <w:t xml:space="preserve"> </w:t>
            </w:r>
            <w:r w:rsidR="00797AB3">
              <w:rPr>
                <w:sz w:val="24"/>
                <w:szCs w:val="24"/>
              </w:rPr>
              <w:t>činí</w:t>
            </w:r>
            <w:r w:rsidRPr="00AE4777">
              <w:rPr>
                <w:sz w:val="24"/>
                <w:szCs w:val="24"/>
              </w:rPr>
              <w:t xml:space="preserve"> </w:t>
            </w:r>
            <w:r w:rsidR="00BF6D9B">
              <w:rPr>
                <w:sz w:val="24"/>
                <w:szCs w:val="24"/>
              </w:rPr>
              <w:t>3 000</w:t>
            </w:r>
            <w:r w:rsidR="00BF6D9B" w:rsidRPr="00AE4777">
              <w:rPr>
                <w:sz w:val="24"/>
                <w:szCs w:val="24"/>
              </w:rPr>
              <w:t xml:space="preserve"> </w:t>
            </w:r>
            <w:r w:rsidR="00525A49" w:rsidRPr="00AE4777">
              <w:rPr>
                <w:sz w:val="24"/>
                <w:szCs w:val="24"/>
              </w:rPr>
              <w:t>Kč</w:t>
            </w:r>
            <w:r w:rsidRPr="00AE4777">
              <w:rPr>
                <w:sz w:val="24"/>
                <w:szCs w:val="24"/>
              </w:rPr>
              <w:t xml:space="preserve"> </w:t>
            </w:r>
            <w:r w:rsidR="00797AB3">
              <w:rPr>
                <w:sz w:val="24"/>
                <w:szCs w:val="24"/>
              </w:rPr>
              <w:t>/ m</w:t>
            </w:r>
            <w:r w:rsidR="00797AB3" w:rsidRPr="00797AB3">
              <w:rPr>
                <w:sz w:val="24"/>
                <w:szCs w:val="24"/>
                <w:vertAlign w:val="superscript"/>
              </w:rPr>
              <w:t>2</w:t>
            </w:r>
            <w:r w:rsidR="00797AB3">
              <w:rPr>
                <w:sz w:val="24"/>
                <w:szCs w:val="24"/>
              </w:rPr>
              <w:t xml:space="preserve"> </w:t>
            </w:r>
            <w:r w:rsidRPr="00AE4777">
              <w:rPr>
                <w:sz w:val="24"/>
                <w:szCs w:val="24"/>
              </w:rPr>
              <w:t xml:space="preserve">/ </w:t>
            </w:r>
            <w:r w:rsidR="003207FC">
              <w:rPr>
                <w:sz w:val="24"/>
                <w:szCs w:val="24"/>
              </w:rPr>
              <w:t>čtvrtletně</w:t>
            </w:r>
            <w:r w:rsidRPr="00AE4777">
              <w:rPr>
                <w:sz w:val="24"/>
                <w:szCs w:val="24"/>
              </w:rPr>
              <w:t>.</w:t>
            </w:r>
            <w:r w:rsidR="00525A49" w:rsidRPr="00AE4777">
              <w:rPr>
                <w:sz w:val="24"/>
                <w:szCs w:val="24"/>
              </w:rPr>
              <w:t xml:space="preserve"> </w:t>
            </w:r>
          </w:p>
        </w:tc>
      </w:tr>
      <w:tr w:rsidR="00AE4777" w:rsidRPr="00AE5449" w14:paraId="56B20EDB" w14:textId="77777777" w:rsidTr="00C65B2C">
        <w:tc>
          <w:tcPr>
            <w:tcW w:w="1334" w:type="pct"/>
            <w:shd w:val="clear" w:color="auto" w:fill="D9D9D9"/>
          </w:tcPr>
          <w:p w14:paraId="0CCA7362" w14:textId="77777777" w:rsidR="00AE4777" w:rsidRPr="00C66147" w:rsidRDefault="00AE4777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Podnájem</w:t>
            </w:r>
          </w:p>
        </w:tc>
        <w:tc>
          <w:tcPr>
            <w:tcW w:w="3666" w:type="pct"/>
          </w:tcPr>
          <w:p w14:paraId="4DB93EFB" w14:textId="43091F63" w:rsidR="00AE4777" w:rsidRDefault="00AE4777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Smluvní strany se dohodly, že </w:t>
            </w:r>
            <w:r w:rsidR="0004426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ájemce může zřídit užívací právo (podnájem) členům skupiny Best </w:t>
            </w:r>
            <w:proofErr w:type="spellStart"/>
            <w:r>
              <w:rPr>
                <w:sz w:val="24"/>
                <w:szCs w:val="24"/>
              </w:rPr>
              <w:t>Rents</w:t>
            </w:r>
            <w:proofErr w:type="spellEnd"/>
            <w:r w:rsidR="00350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bez souhlasu </w:t>
            </w:r>
            <w:r w:rsidR="0004426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ronajímatele.</w:t>
            </w:r>
            <w:r w:rsidR="003502F8">
              <w:rPr>
                <w:sz w:val="24"/>
                <w:szCs w:val="24"/>
              </w:rPr>
              <w:t xml:space="preserve"> V takovém případě však musí Pronajímatele notifikovat předem. </w:t>
            </w:r>
          </w:p>
        </w:tc>
      </w:tr>
      <w:tr w:rsidR="00C04566" w:rsidRPr="00AE5449" w14:paraId="4E0AEFFD" w14:textId="77777777" w:rsidTr="00C65B2C">
        <w:tc>
          <w:tcPr>
            <w:tcW w:w="1334" w:type="pct"/>
            <w:shd w:val="clear" w:color="auto" w:fill="D9D9D9"/>
          </w:tcPr>
          <w:p w14:paraId="3E3D836D" w14:textId="26192550" w:rsidR="00C04566" w:rsidRPr="00C66147" w:rsidRDefault="000B7A3B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Zařizovací práce</w:t>
            </w:r>
          </w:p>
        </w:tc>
        <w:tc>
          <w:tcPr>
            <w:tcW w:w="3666" w:type="pct"/>
          </w:tcPr>
          <w:p w14:paraId="58E7C204" w14:textId="682CC29D" w:rsidR="00C04566" w:rsidRDefault="00750194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 </w:t>
            </w:r>
            <w:r w:rsidR="000A4A47">
              <w:rPr>
                <w:sz w:val="24"/>
                <w:szCs w:val="24"/>
              </w:rPr>
              <w:t>předáním</w:t>
            </w:r>
            <w:r>
              <w:rPr>
                <w:sz w:val="24"/>
                <w:szCs w:val="24"/>
              </w:rPr>
              <w:t xml:space="preserve"> </w:t>
            </w:r>
            <w:r w:rsidR="000A4A47">
              <w:rPr>
                <w:sz w:val="24"/>
                <w:szCs w:val="24"/>
              </w:rPr>
              <w:t xml:space="preserve">prostor </w:t>
            </w:r>
            <w:r>
              <w:rPr>
                <w:sz w:val="24"/>
                <w:szCs w:val="24"/>
              </w:rPr>
              <w:t xml:space="preserve">je Nájemce oprávněn provést v rozsahu a termínech odsouhlasených Pronajímatelem určité </w:t>
            </w:r>
            <w:r w:rsidR="000B7A3B">
              <w:rPr>
                <w:sz w:val="24"/>
                <w:szCs w:val="24"/>
              </w:rPr>
              <w:t>zařizovací práce</w:t>
            </w:r>
            <w:r>
              <w:rPr>
                <w:sz w:val="24"/>
                <w:szCs w:val="24"/>
              </w:rPr>
              <w:t xml:space="preserve"> v předmětu nájmu</w:t>
            </w:r>
            <w:r w:rsidR="000B7A3B">
              <w:rPr>
                <w:sz w:val="24"/>
                <w:szCs w:val="24"/>
              </w:rPr>
              <w:t xml:space="preserve"> spočívající v </w:t>
            </w:r>
            <w:r w:rsidR="000B7A3B" w:rsidRPr="000B7A3B">
              <w:rPr>
                <w:sz w:val="24"/>
                <w:szCs w:val="24"/>
              </w:rPr>
              <w:t xml:space="preserve">montáží či instalací </w:t>
            </w:r>
            <w:r w:rsidR="000B7A3B">
              <w:rPr>
                <w:sz w:val="24"/>
                <w:szCs w:val="24"/>
              </w:rPr>
              <w:t xml:space="preserve">vybraných </w:t>
            </w:r>
            <w:r w:rsidR="000B7A3B" w:rsidRPr="000B7A3B">
              <w:rPr>
                <w:sz w:val="24"/>
                <w:szCs w:val="24"/>
              </w:rPr>
              <w:t>zařízení</w:t>
            </w:r>
            <w:r w:rsidR="000B7A3B">
              <w:rPr>
                <w:sz w:val="24"/>
                <w:szCs w:val="24"/>
              </w:rPr>
              <w:t xml:space="preserve"> uvedených v nájemní smlouvě</w:t>
            </w:r>
            <w:r w:rsidR="000B7A3B" w:rsidRPr="000B7A3B">
              <w:rPr>
                <w:sz w:val="24"/>
                <w:szCs w:val="24"/>
              </w:rPr>
              <w:t>, které j</w:t>
            </w:r>
            <w:r w:rsidR="000B7A3B">
              <w:rPr>
                <w:sz w:val="24"/>
                <w:szCs w:val="24"/>
              </w:rPr>
              <w:t>sou</w:t>
            </w:r>
            <w:r w:rsidR="000B7A3B" w:rsidRPr="000B7A3B">
              <w:rPr>
                <w:sz w:val="24"/>
                <w:szCs w:val="24"/>
              </w:rPr>
              <w:t xml:space="preserve"> nezbytné pro provozování podnikatelské činnosti Nájemce.</w:t>
            </w:r>
          </w:p>
        </w:tc>
      </w:tr>
      <w:tr w:rsidR="000B7A3B" w:rsidRPr="00AE5449" w14:paraId="45AD87B9" w14:textId="77777777" w:rsidTr="00C65B2C">
        <w:tc>
          <w:tcPr>
            <w:tcW w:w="1334" w:type="pct"/>
            <w:shd w:val="clear" w:color="auto" w:fill="D9D9D9"/>
          </w:tcPr>
          <w:p w14:paraId="041098FA" w14:textId="2162E138" w:rsidR="000B7A3B" w:rsidRDefault="000B7A3B" w:rsidP="00856473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Incentiva</w:t>
            </w:r>
            <w:proofErr w:type="spellEnd"/>
          </w:p>
        </w:tc>
        <w:tc>
          <w:tcPr>
            <w:tcW w:w="3666" w:type="pct"/>
          </w:tcPr>
          <w:p w14:paraId="0BC95423" w14:textId="434E235D" w:rsidR="000B7A3B" w:rsidRDefault="000B7A3B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Pronajímatel </w:t>
            </w:r>
            <w:r w:rsidR="003502F8">
              <w:rPr>
                <w:sz w:val="24"/>
                <w:szCs w:val="24"/>
              </w:rPr>
              <w:t xml:space="preserve">nalákal </w:t>
            </w:r>
            <w:r>
              <w:rPr>
                <w:sz w:val="24"/>
                <w:szCs w:val="24"/>
              </w:rPr>
              <w:t>Nájemce k nájmu předmětných prostor mimo jiné závazkem, že přispěje na úhradu zařizovacích prací částkou až do výše 100.00</w:t>
            </w:r>
            <w:r w:rsidR="003502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Kč. </w:t>
            </w:r>
          </w:p>
        </w:tc>
      </w:tr>
      <w:tr w:rsidR="005850AD" w:rsidRPr="00AE5449" w14:paraId="11972BC4" w14:textId="77777777" w:rsidTr="00C65B2C">
        <w:tc>
          <w:tcPr>
            <w:tcW w:w="1334" w:type="pct"/>
            <w:shd w:val="clear" w:color="auto" w:fill="D9D9D9"/>
          </w:tcPr>
          <w:p w14:paraId="1E83C6BE" w14:textId="77777777" w:rsidR="005850AD" w:rsidRPr="00C66147" w:rsidRDefault="005850AD" w:rsidP="00D06C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Zajištění</w:t>
            </w:r>
          </w:p>
        </w:tc>
        <w:tc>
          <w:tcPr>
            <w:tcW w:w="3666" w:type="pct"/>
          </w:tcPr>
          <w:p w14:paraId="406C30C1" w14:textId="77777777" w:rsidR="005850AD" w:rsidRPr="00C66147" w:rsidRDefault="005850AD" w:rsidP="00D06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tržního standardu.</w:t>
            </w:r>
          </w:p>
        </w:tc>
      </w:tr>
      <w:tr w:rsidR="00BE0CE5" w:rsidRPr="00AE5449" w14:paraId="77D94DDD" w14:textId="77777777" w:rsidTr="00C65B2C">
        <w:tc>
          <w:tcPr>
            <w:tcW w:w="1334" w:type="pct"/>
            <w:shd w:val="clear" w:color="auto" w:fill="D9D9D9"/>
          </w:tcPr>
          <w:p w14:paraId="6F76B4E6" w14:textId="77777777" w:rsidR="00BE0CE5" w:rsidRPr="00C66147" w:rsidRDefault="00BE0CE5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Mlčenlivost</w:t>
            </w:r>
          </w:p>
        </w:tc>
        <w:tc>
          <w:tcPr>
            <w:tcW w:w="3666" w:type="pct"/>
          </w:tcPr>
          <w:p w14:paraId="3806CC53" w14:textId="1DDA2294" w:rsidR="00BE0CE5" w:rsidRPr="00C66147" w:rsidRDefault="007C2308" w:rsidP="008564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E0CE5">
              <w:rPr>
                <w:sz w:val="24"/>
                <w:szCs w:val="24"/>
              </w:rPr>
              <w:t>mluvní stran</w:t>
            </w:r>
            <w:r>
              <w:rPr>
                <w:sz w:val="24"/>
                <w:szCs w:val="24"/>
              </w:rPr>
              <w:t>y jsou povinny</w:t>
            </w:r>
            <w:r w:rsidR="00BE0CE5">
              <w:rPr>
                <w:sz w:val="24"/>
                <w:szCs w:val="24"/>
              </w:rPr>
              <w:t xml:space="preserve"> zachovávat mlčenlivost ohledně </w:t>
            </w:r>
            <w:r w:rsidR="003502F8">
              <w:rPr>
                <w:sz w:val="24"/>
                <w:szCs w:val="24"/>
              </w:rPr>
              <w:t xml:space="preserve">nájemní </w:t>
            </w:r>
            <w:r w:rsidR="00BE0CE5">
              <w:rPr>
                <w:sz w:val="24"/>
                <w:szCs w:val="24"/>
              </w:rPr>
              <w:t xml:space="preserve">smlouvy. </w:t>
            </w:r>
          </w:p>
        </w:tc>
      </w:tr>
      <w:tr w:rsidR="00C66147" w:rsidRPr="00AE5449" w14:paraId="3889C148" w14:textId="77777777" w:rsidTr="00C65B2C">
        <w:tc>
          <w:tcPr>
            <w:tcW w:w="1334" w:type="pct"/>
            <w:shd w:val="clear" w:color="auto" w:fill="D9D9D9"/>
          </w:tcPr>
          <w:p w14:paraId="668CFC96" w14:textId="77777777" w:rsidR="00C66147" w:rsidRPr="00C66147" w:rsidRDefault="00C66147" w:rsidP="00856473">
            <w:pPr>
              <w:spacing w:before="120" w:after="120"/>
              <w:rPr>
                <w:b/>
                <w:sz w:val="24"/>
                <w:szCs w:val="24"/>
              </w:rPr>
            </w:pPr>
            <w:r w:rsidRPr="00C66147">
              <w:rPr>
                <w:b/>
                <w:sz w:val="24"/>
                <w:szCs w:val="24"/>
              </w:rPr>
              <w:t>Sankce za porušení smlouvy</w:t>
            </w:r>
          </w:p>
        </w:tc>
        <w:tc>
          <w:tcPr>
            <w:tcW w:w="3666" w:type="pct"/>
          </w:tcPr>
          <w:p w14:paraId="2588E71D" w14:textId="16F1EC91" w:rsidR="00A65F25" w:rsidRDefault="00525A49" w:rsidP="00525A4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</w:t>
            </w:r>
            <w:proofErr w:type="spellStart"/>
            <w:r>
              <w:rPr>
                <w:sz w:val="24"/>
                <w:szCs w:val="24"/>
              </w:rPr>
              <w:t>Rents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502F8">
              <w:rPr>
                <w:sz w:val="24"/>
                <w:szCs w:val="24"/>
              </w:rPr>
              <w:t>a.s</w:t>
            </w:r>
            <w:proofErr w:type="spellEnd"/>
            <w:r w:rsidR="00350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požaduj</w:t>
            </w:r>
            <w:r w:rsidR="003502F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aby nájemní smlouva obsahovala smluvní pokutu v případě porušení povinností </w:t>
            </w:r>
            <w:r w:rsidR="0004426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ronajímatele. Pan Jablíčko je ochotný souhlasit s ujednáním smluvní pokuty ve výši </w:t>
            </w:r>
            <w:r w:rsidRPr="00830AE4">
              <w:rPr>
                <w:sz w:val="24"/>
                <w:szCs w:val="24"/>
              </w:rPr>
              <w:t>10 000</w:t>
            </w:r>
            <w:r>
              <w:rPr>
                <w:sz w:val="24"/>
                <w:szCs w:val="24"/>
              </w:rPr>
              <w:t xml:space="preserve"> Kč v případě porušení </w:t>
            </w:r>
            <w:r w:rsidR="00A65F25">
              <w:rPr>
                <w:sz w:val="24"/>
                <w:szCs w:val="24"/>
              </w:rPr>
              <w:t>závažných a zároveň výslovně vyjmenovaných</w:t>
            </w:r>
            <w:r>
              <w:rPr>
                <w:sz w:val="24"/>
                <w:szCs w:val="24"/>
              </w:rPr>
              <w:t xml:space="preserve"> povinností</w:t>
            </w:r>
            <w:r w:rsidR="00A65F25">
              <w:rPr>
                <w:sz w:val="24"/>
                <w:szCs w:val="24"/>
              </w:rPr>
              <w:t xml:space="preserve"> z nájemní smlouvy</w:t>
            </w:r>
            <w:r>
              <w:rPr>
                <w:sz w:val="24"/>
                <w:szCs w:val="24"/>
              </w:rPr>
              <w:t>.</w:t>
            </w:r>
          </w:p>
          <w:p w14:paraId="4B228430" w14:textId="6CF8C066" w:rsidR="00525A49" w:rsidRDefault="00A65F25" w:rsidP="00525A4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7162E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plátku pan Jablíčko požaduje přiměřenou smluvní pokutu ve svůj prospěch, a to v případě, že nastane některá z následujících skutečností:</w:t>
            </w:r>
          </w:p>
          <w:p w14:paraId="37914319" w14:textId="17634F9A" w:rsidR="00A65F25" w:rsidRDefault="00044260" w:rsidP="00A65F25">
            <w:pPr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65F25">
              <w:rPr>
                <w:sz w:val="24"/>
                <w:szCs w:val="24"/>
              </w:rPr>
              <w:t>ájemce je v prodlení s jakoukoliv platbou podle nájemní smlouvy;</w:t>
            </w:r>
          </w:p>
          <w:p w14:paraId="37D6BAC3" w14:textId="57F18549" w:rsidR="00A65F25" w:rsidRDefault="00044260" w:rsidP="007162E5">
            <w:pPr>
              <w:numPr>
                <w:ilvl w:val="0"/>
                <w:numId w:val="6"/>
              </w:numPr>
              <w:spacing w:before="120" w:after="120"/>
              <w:ind w:left="57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65F25">
              <w:rPr>
                <w:sz w:val="24"/>
                <w:szCs w:val="24"/>
              </w:rPr>
              <w:t>ronajímatel vypoví smlouvu z důvodu opakované</w:t>
            </w:r>
            <w:r w:rsidR="0045570A">
              <w:rPr>
                <w:sz w:val="24"/>
                <w:szCs w:val="24"/>
              </w:rPr>
              <w:t>ho</w:t>
            </w:r>
            <w:r w:rsidR="00A65F25">
              <w:rPr>
                <w:sz w:val="24"/>
                <w:szCs w:val="24"/>
              </w:rPr>
              <w:t xml:space="preserve"> porušování povinnost</w:t>
            </w:r>
            <w:r w:rsidR="0045570A">
              <w:rPr>
                <w:sz w:val="24"/>
                <w:szCs w:val="24"/>
              </w:rPr>
              <w:t>í Nájemcem (100.000 Kč);</w:t>
            </w:r>
          </w:p>
          <w:p w14:paraId="294AE040" w14:textId="67932027" w:rsidR="0045570A" w:rsidRPr="00525A49" w:rsidRDefault="0045570A" w:rsidP="00A65F25">
            <w:pPr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porušení povinností </w:t>
            </w:r>
            <w:r w:rsidR="0004426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ájemce související s opuštěním prostor při skončení nájmu. </w:t>
            </w:r>
          </w:p>
        </w:tc>
      </w:tr>
      <w:tr w:rsidR="00BE0CE5" w:rsidRPr="00AE5449" w14:paraId="6158E684" w14:textId="77777777" w:rsidTr="00C65B2C">
        <w:tc>
          <w:tcPr>
            <w:tcW w:w="1334" w:type="pct"/>
            <w:shd w:val="clear" w:color="auto" w:fill="D9D9D9"/>
          </w:tcPr>
          <w:p w14:paraId="32D8460A" w14:textId="77777777" w:rsidR="00BE0CE5" w:rsidRPr="00C66147" w:rsidRDefault="00BE0CE5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Rozhodné právo</w:t>
            </w:r>
          </w:p>
        </w:tc>
        <w:tc>
          <w:tcPr>
            <w:tcW w:w="3666" w:type="pct"/>
          </w:tcPr>
          <w:p w14:paraId="2E03C2E7" w14:textId="77777777" w:rsidR="00BE0CE5" w:rsidRPr="002A79C2" w:rsidRDefault="00BE0CE5" w:rsidP="00856473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BE0CE5">
              <w:rPr>
                <w:sz w:val="24"/>
                <w:szCs w:val="24"/>
              </w:rPr>
              <w:t>České právo</w:t>
            </w:r>
            <w:r w:rsidR="00C65B2C">
              <w:rPr>
                <w:sz w:val="24"/>
                <w:szCs w:val="24"/>
              </w:rPr>
              <w:t>.</w:t>
            </w:r>
          </w:p>
        </w:tc>
      </w:tr>
      <w:tr w:rsidR="00BE0CE5" w:rsidRPr="00AE5449" w14:paraId="4A388AE1" w14:textId="77777777" w:rsidTr="00C65B2C">
        <w:tc>
          <w:tcPr>
            <w:tcW w:w="1334" w:type="pct"/>
            <w:shd w:val="clear" w:color="auto" w:fill="D9D9D9"/>
          </w:tcPr>
          <w:p w14:paraId="2A90448D" w14:textId="77777777" w:rsidR="00BE0CE5" w:rsidRDefault="00BE0CE5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Rozhodování sporů</w:t>
            </w:r>
          </w:p>
        </w:tc>
        <w:tc>
          <w:tcPr>
            <w:tcW w:w="3666" w:type="pct"/>
          </w:tcPr>
          <w:p w14:paraId="7BA28C97" w14:textId="77777777" w:rsidR="00C9391E" w:rsidRDefault="00C9391E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Smírně. </w:t>
            </w:r>
          </w:p>
          <w:p w14:paraId="25F885FA" w14:textId="124561D2" w:rsidR="00BE0CE5" w:rsidRPr="00BE0CE5" w:rsidRDefault="00F9114A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Švýcarská matka </w:t>
            </w:r>
            <w:r w:rsidR="0004426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ájemce trvá na tom, že spory z nájemní smlouvy nebudou rozhodovány </w:t>
            </w:r>
            <w:r w:rsidR="00437C23">
              <w:rPr>
                <w:sz w:val="24"/>
                <w:szCs w:val="24"/>
              </w:rPr>
              <w:t xml:space="preserve">v České republice. </w:t>
            </w:r>
          </w:p>
        </w:tc>
      </w:tr>
      <w:tr w:rsidR="00720FC3" w:rsidRPr="00AE5449" w14:paraId="1BEF1DCA" w14:textId="77777777" w:rsidTr="00C65B2C">
        <w:tc>
          <w:tcPr>
            <w:tcW w:w="1334" w:type="pct"/>
            <w:shd w:val="clear" w:color="auto" w:fill="D9D9D9"/>
          </w:tcPr>
          <w:p w14:paraId="55CDF3F7" w14:textId="45A88016" w:rsidR="00720FC3" w:rsidRDefault="00720FC3" w:rsidP="0085647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nájemního práva do katastru</w:t>
            </w:r>
          </w:p>
        </w:tc>
        <w:tc>
          <w:tcPr>
            <w:tcW w:w="3666" w:type="pct"/>
          </w:tcPr>
          <w:p w14:paraId="591529BD" w14:textId="03ACB710" w:rsidR="00720FC3" w:rsidRDefault="00720FC3" w:rsidP="00DD309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Nájemce </w:t>
            </w:r>
            <w:r w:rsidR="003502F8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>oprávněn zapsat nájemní právo do katastru</w:t>
            </w:r>
            <w:r w:rsidR="003502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bude-li si to přát. </w:t>
            </w:r>
          </w:p>
        </w:tc>
      </w:tr>
    </w:tbl>
    <w:p w14:paraId="7634C961" w14:textId="77777777" w:rsidR="009B183D" w:rsidRDefault="009B183D" w:rsidP="00C02509">
      <w:pPr>
        <w:rPr>
          <w:b/>
          <w:szCs w:val="22"/>
        </w:rPr>
      </w:pPr>
    </w:p>
    <w:sectPr w:rsidR="009B183D" w:rsidSect="00A704B4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8" w:footer="709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B7D5" w14:textId="77777777" w:rsidR="00EA004D" w:rsidRDefault="00EA004D">
      <w:r>
        <w:separator/>
      </w:r>
    </w:p>
  </w:endnote>
  <w:endnote w:type="continuationSeparator" w:id="0">
    <w:p w14:paraId="5F50F562" w14:textId="77777777" w:rsidR="00EA004D" w:rsidRDefault="00E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56E9" w14:textId="77777777" w:rsidR="00FC07DE" w:rsidRDefault="00AD04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07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708EE" w14:textId="77777777" w:rsidR="00FC07DE" w:rsidRDefault="00FC0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9ED5" w14:textId="77777777" w:rsidR="00FC07DE" w:rsidRDefault="00AD04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07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50AD">
      <w:rPr>
        <w:rStyle w:val="slostrnky"/>
        <w:noProof/>
      </w:rPr>
      <w:t>2</w:t>
    </w:r>
    <w:r>
      <w:rPr>
        <w:rStyle w:val="slostrnky"/>
      </w:rPr>
      <w:fldChar w:fldCharType="end"/>
    </w:r>
  </w:p>
  <w:p w14:paraId="5D081975" w14:textId="77777777" w:rsidR="00FC07DE" w:rsidRDefault="00FC0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26F2" w14:textId="77777777" w:rsidR="00EA004D" w:rsidRDefault="00EA004D">
      <w:r>
        <w:separator/>
      </w:r>
    </w:p>
  </w:footnote>
  <w:footnote w:type="continuationSeparator" w:id="0">
    <w:p w14:paraId="2BA60C14" w14:textId="77777777" w:rsidR="00EA004D" w:rsidRDefault="00EA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691A" w14:textId="77777777" w:rsidR="00FC07DE" w:rsidRDefault="00FC07DE">
    <w:pPr>
      <w:pStyle w:val="Zhlav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7B3"/>
    <w:multiLevelType w:val="hybridMultilevel"/>
    <w:tmpl w:val="CB0059FC"/>
    <w:lvl w:ilvl="0" w:tplc="60344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00E"/>
    <w:multiLevelType w:val="hybridMultilevel"/>
    <w:tmpl w:val="0678793A"/>
    <w:lvl w:ilvl="0" w:tplc="F9BC2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CC"/>
    <w:multiLevelType w:val="multilevel"/>
    <w:tmpl w:val="2BAE0EE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B8B3E48"/>
    <w:multiLevelType w:val="hybridMultilevel"/>
    <w:tmpl w:val="391C66D8"/>
    <w:lvl w:ilvl="0" w:tplc="040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DD32AE9"/>
    <w:multiLevelType w:val="hybridMultilevel"/>
    <w:tmpl w:val="37ECAE92"/>
    <w:lvl w:ilvl="0" w:tplc="7F06A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6BDF"/>
    <w:multiLevelType w:val="hybridMultilevel"/>
    <w:tmpl w:val="70726398"/>
    <w:lvl w:ilvl="0" w:tplc="E19A6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64B"/>
    <w:multiLevelType w:val="hybridMultilevel"/>
    <w:tmpl w:val="8D90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83D"/>
    <w:rsid w:val="00007F21"/>
    <w:rsid w:val="00016D69"/>
    <w:rsid w:val="00017261"/>
    <w:rsid w:val="00017614"/>
    <w:rsid w:val="0002456F"/>
    <w:rsid w:val="00032B13"/>
    <w:rsid w:val="00044260"/>
    <w:rsid w:val="00052932"/>
    <w:rsid w:val="00052F38"/>
    <w:rsid w:val="00053188"/>
    <w:rsid w:val="00071CB0"/>
    <w:rsid w:val="0007231B"/>
    <w:rsid w:val="00075544"/>
    <w:rsid w:val="00081033"/>
    <w:rsid w:val="00083820"/>
    <w:rsid w:val="00091B26"/>
    <w:rsid w:val="00091E39"/>
    <w:rsid w:val="00095620"/>
    <w:rsid w:val="000A3E32"/>
    <w:rsid w:val="000A4A47"/>
    <w:rsid w:val="000A776C"/>
    <w:rsid w:val="000B7A26"/>
    <w:rsid w:val="000B7A3B"/>
    <w:rsid w:val="000C22D0"/>
    <w:rsid w:val="000C674A"/>
    <w:rsid w:val="000D07FF"/>
    <w:rsid w:val="000D1697"/>
    <w:rsid w:val="000D6A19"/>
    <w:rsid w:val="000F7627"/>
    <w:rsid w:val="000F768D"/>
    <w:rsid w:val="00107620"/>
    <w:rsid w:val="001108DC"/>
    <w:rsid w:val="001118C5"/>
    <w:rsid w:val="0011381A"/>
    <w:rsid w:val="00117A74"/>
    <w:rsid w:val="00125D45"/>
    <w:rsid w:val="0013265C"/>
    <w:rsid w:val="00140C33"/>
    <w:rsid w:val="00141D61"/>
    <w:rsid w:val="00142A56"/>
    <w:rsid w:val="001551D9"/>
    <w:rsid w:val="00161C18"/>
    <w:rsid w:val="00165C16"/>
    <w:rsid w:val="00166AEF"/>
    <w:rsid w:val="001732A6"/>
    <w:rsid w:val="00183096"/>
    <w:rsid w:val="001837DA"/>
    <w:rsid w:val="00184FCC"/>
    <w:rsid w:val="00187237"/>
    <w:rsid w:val="00193AE4"/>
    <w:rsid w:val="001A0530"/>
    <w:rsid w:val="001A20FA"/>
    <w:rsid w:val="001A6903"/>
    <w:rsid w:val="001B6B46"/>
    <w:rsid w:val="001C0D04"/>
    <w:rsid w:val="001C1BE1"/>
    <w:rsid w:val="001C7D83"/>
    <w:rsid w:val="001D0ABA"/>
    <w:rsid w:val="001D5AFE"/>
    <w:rsid w:val="001D5D03"/>
    <w:rsid w:val="001E3B45"/>
    <w:rsid w:val="001F12F9"/>
    <w:rsid w:val="001F1415"/>
    <w:rsid w:val="001F569A"/>
    <w:rsid w:val="00201006"/>
    <w:rsid w:val="002029E0"/>
    <w:rsid w:val="00207BC3"/>
    <w:rsid w:val="00211DB6"/>
    <w:rsid w:val="00212C84"/>
    <w:rsid w:val="00222E11"/>
    <w:rsid w:val="002232F6"/>
    <w:rsid w:val="0022673E"/>
    <w:rsid w:val="00227998"/>
    <w:rsid w:val="00241D2C"/>
    <w:rsid w:val="00244396"/>
    <w:rsid w:val="00245BF2"/>
    <w:rsid w:val="00251C3E"/>
    <w:rsid w:val="00263102"/>
    <w:rsid w:val="0026622F"/>
    <w:rsid w:val="002741BC"/>
    <w:rsid w:val="0028414D"/>
    <w:rsid w:val="00287185"/>
    <w:rsid w:val="00292D54"/>
    <w:rsid w:val="002A79C2"/>
    <w:rsid w:val="002B037A"/>
    <w:rsid w:val="002B2FE2"/>
    <w:rsid w:val="002C690F"/>
    <w:rsid w:val="002C6F16"/>
    <w:rsid w:val="002D1C23"/>
    <w:rsid w:val="002D4777"/>
    <w:rsid w:val="002E2F12"/>
    <w:rsid w:val="002F0C7F"/>
    <w:rsid w:val="002F44B0"/>
    <w:rsid w:val="002F6FF4"/>
    <w:rsid w:val="0030173C"/>
    <w:rsid w:val="0031410C"/>
    <w:rsid w:val="00314286"/>
    <w:rsid w:val="00316BF0"/>
    <w:rsid w:val="003207FC"/>
    <w:rsid w:val="0033043B"/>
    <w:rsid w:val="003345D6"/>
    <w:rsid w:val="00337B28"/>
    <w:rsid w:val="0034308F"/>
    <w:rsid w:val="003502F8"/>
    <w:rsid w:val="003614EC"/>
    <w:rsid w:val="0036152D"/>
    <w:rsid w:val="00361A44"/>
    <w:rsid w:val="00364E4E"/>
    <w:rsid w:val="00365DCF"/>
    <w:rsid w:val="00381BFA"/>
    <w:rsid w:val="0038627A"/>
    <w:rsid w:val="003A33EC"/>
    <w:rsid w:val="003A637D"/>
    <w:rsid w:val="003B33F8"/>
    <w:rsid w:val="003C03DD"/>
    <w:rsid w:val="003D2BC6"/>
    <w:rsid w:val="003D5496"/>
    <w:rsid w:val="003E41FA"/>
    <w:rsid w:val="003E6A17"/>
    <w:rsid w:val="00405489"/>
    <w:rsid w:val="00416F0B"/>
    <w:rsid w:val="004222E8"/>
    <w:rsid w:val="00422992"/>
    <w:rsid w:val="004309DC"/>
    <w:rsid w:val="0043576F"/>
    <w:rsid w:val="00437C23"/>
    <w:rsid w:val="004407B7"/>
    <w:rsid w:val="00443A79"/>
    <w:rsid w:val="004478C3"/>
    <w:rsid w:val="0045570A"/>
    <w:rsid w:val="00455D96"/>
    <w:rsid w:val="00457CAE"/>
    <w:rsid w:val="00462EE5"/>
    <w:rsid w:val="004704BB"/>
    <w:rsid w:val="004777D8"/>
    <w:rsid w:val="00481356"/>
    <w:rsid w:val="00485601"/>
    <w:rsid w:val="00486772"/>
    <w:rsid w:val="0049478D"/>
    <w:rsid w:val="004A119F"/>
    <w:rsid w:val="004A34DA"/>
    <w:rsid w:val="004A4234"/>
    <w:rsid w:val="004A58E3"/>
    <w:rsid w:val="004A752D"/>
    <w:rsid w:val="004A7AFF"/>
    <w:rsid w:val="004B0C1F"/>
    <w:rsid w:val="004B17B2"/>
    <w:rsid w:val="004B71E5"/>
    <w:rsid w:val="004C1E2A"/>
    <w:rsid w:val="004C35EC"/>
    <w:rsid w:val="004C41EA"/>
    <w:rsid w:val="004D5222"/>
    <w:rsid w:val="004E63D2"/>
    <w:rsid w:val="004F29CA"/>
    <w:rsid w:val="0050037A"/>
    <w:rsid w:val="00512E53"/>
    <w:rsid w:val="0051585D"/>
    <w:rsid w:val="0052425E"/>
    <w:rsid w:val="00524FC9"/>
    <w:rsid w:val="005256DC"/>
    <w:rsid w:val="0052598E"/>
    <w:rsid w:val="00525A49"/>
    <w:rsid w:val="00534A40"/>
    <w:rsid w:val="005406AD"/>
    <w:rsid w:val="00544791"/>
    <w:rsid w:val="005500F7"/>
    <w:rsid w:val="0055192B"/>
    <w:rsid w:val="00553169"/>
    <w:rsid w:val="00573FDF"/>
    <w:rsid w:val="005819F1"/>
    <w:rsid w:val="005850AD"/>
    <w:rsid w:val="005857E9"/>
    <w:rsid w:val="00587806"/>
    <w:rsid w:val="0059536A"/>
    <w:rsid w:val="00595961"/>
    <w:rsid w:val="00595ED5"/>
    <w:rsid w:val="005A3411"/>
    <w:rsid w:val="005B1FE1"/>
    <w:rsid w:val="005B5BFA"/>
    <w:rsid w:val="005C3C5F"/>
    <w:rsid w:val="005C4377"/>
    <w:rsid w:val="005D302C"/>
    <w:rsid w:val="005D5C0B"/>
    <w:rsid w:val="005E1991"/>
    <w:rsid w:val="005E3A34"/>
    <w:rsid w:val="005E4CCA"/>
    <w:rsid w:val="005E5511"/>
    <w:rsid w:val="005F70AE"/>
    <w:rsid w:val="005F7C60"/>
    <w:rsid w:val="00606A6F"/>
    <w:rsid w:val="00606A95"/>
    <w:rsid w:val="00607607"/>
    <w:rsid w:val="00607F0B"/>
    <w:rsid w:val="00612CA4"/>
    <w:rsid w:val="00617204"/>
    <w:rsid w:val="00622941"/>
    <w:rsid w:val="00622C50"/>
    <w:rsid w:val="00627176"/>
    <w:rsid w:val="00633F59"/>
    <w:rsid w:val="006340F3"/>
    <w:rsid w:val="00650917"/>
    <w:rsid w:val="006516F3"/>
    <w:rsid w:val="00651BAA"/>
    <w:rsid w:val="006566E0"/>
    <w:rsid w:val="0066439A"/>
    <w:rsid w:val="00665D60"/>
    <w:rsid w:val="0066755F"/>
    <w:rsid w:val="00672C27"/>
    <w:rsid w:val="00672C9E"/>
    <w:rsid w:val="00672EAB"/>
    <w:rsid w:val="00673EF8"/>
    <w:rsid w:val="00686B35"/>
    <w:rsid w:val="00692740"/>
    <w:rsid w:val="00692E03"/>
    <w:rsid w:val="006935EF"/>
    <w:rsid w:val="006A1ACB"/>
    <w:rsid w:val="006A3A51"/>
    <w:rsid w:val="006A7CEA"/>
    <w:rsid w:val="006A7EC9"/>
    <w:rsid w:val="006B110C"/>
    <w:rsid w:val="006B3272"/>
    <w:rsid w:val="006B3929"/>
    <w:rsid w:val="006B61CE"/>
    <w:rsid w:val="006C4E15"/>
    <w:rsid w:val="006C7A76"/>
    <w:rsid w:val="006D1ED0"/>
    <w:rsid w:val="006D538C"/>
    <w:rsid w:val="006D69FE"/>
    <w:rsid w:val="006E040B"/>
    <w:rsid w:val="0070649C"/>
    <w:rsid w:val="00711F90"/>
    <w:rsid w:val="007162E5"/>
    <w:rsid w:val="00720FC3"/>
    <w:rsid w:val="00733044"/>
    <w:rsid w:val="00733793"/>
    <w:rsid w:val="00735F70"/>
    <w:rsid w:val="00736363"/>
    <w:rsid w:val="0073780A"/>
    <w:rsid w:val="00745814"/>
    <w:rsid w:val="00750194"/>
    <w:rsid w:val="00753799"/>
    <w:rsid w:val="00760DFF"/>
    <w:rsid w:val="00765285"/>
    <w:rsid w:val="00772557"/>
    <w:rsid w:val="00772769"/>
    <w:rsid w:val="00774110"/>
    <w:rsid w:val="00782315"/>
    <w:rsid w:val="007853B1"/>
    <w:rsid w:val="00785AE4"/>
    <w:rsid w:val="00791611"/>
    <w:rsid w:val="0079196C"/>
    <w:rsid w:val="00796E32"/>
    <w:rsid w:val="00797AB3"/>
    <w:rsid w:val="007A7CBC"/>
    <w:rsid w:val="007B158D"/>
    <w:rsid w:val="007B30C3"/>
    <w:rsid w:val="007B319F"/>
    <w:rsid w:val="007B3C76"/>
    <w:rsid w:val="007B74E0"/>
    <w:rsid w:val="007C2308"/>
    <w:rsid w:val="007C6A29"/>
    <w:rsid w:val="007D0363"/>
    <w:rsid w:val="007D4B9E"/>
    <w:rsid w:val="007D6C20"/>
    <w:rsid w:val="007E0D30"/>
    <w:rsid w:val="007E0EC1"/>
    <w:rsid w:val="007F276C"/>
    <w:rsid w:val="007F29CD"/>
    <w:rsid w:val="007F6A54"/>
    <w:rsid w:val="008104BC"/>
    <w:rsid w:val="00820C35"/>
    <w:rsid w:val="0082357A"/>
    <w:rsid w:val="00830AE4"/>
    <w:rsid w:val="00833E27"/>
    <w:rsid w:val="00836EE3"/>
    <w:rsid w:val="00841BC8"/>
    <w:rsid w:val="00842C65"/>
    <w:rsid w:val="0085381D"/>
    <w:rsid w:val="00855ECA"/>
    <w:rsid w:val="00856473"/>
    <w:rsid w:val="00870956"/>
    <w:rsid w:val="008773A7"/>
    <w:rsid w:val="00885E02"/>
    <w:rsid w:val="00893418"/>
    <w:rsid w:val="008934DA"/>
    <w:rsid w:val="008B6997"/>
    <w:rsid w:val="008C50E1"/>
    <w:rsid w:val="008D5DD6"/>
    <w:rsid w:val="008E17FB"/>
    <w:rsid w:val="008E5378"/>
    <w:rsid w:val="008F521F"/>
    <w:rsid w:val="009031E0"/>
    <w:rsid w:val="00904946"/>
    <w:rsid w:val="009069E6"/>
    <w:rsid w:val="00914DE4"/>
    <w:rsid w:val="00914F61"/>
    <w:rsid w:val="00915484"/>
    <w:rsid w:val="009237C0"/>
    <w:rsid w:val="00954187"/>
    <w:rsid w:val="0095479D"/>
    <w:rsid w:val="00957616"/>
    <w:rsid w:val="00957A82"/>
    <w:rsid w:val="00957CF0"/>
    <w:rsid w:val="00964D86"/>
    <w:rsid w:val="00971C05"/>
    <w:rsid w:val="009755F1"/>
    <w:rsid w:val="009855CC"/>
    <w:rsid w:val="00995364"/>
    <w:rsid w:val="00996D9D"/>
    <w:rsid w:val="00996DB8"/>
    <w:rsid w:val="009A5BC5"/>
    <w:rsid w:val="009B183D"/>
    <w:rsid w:val="009B26D2"/>
    <w:rsid w:val="009B3886"/>
    <w:rsid w:val="009B694A"/>
    <w:rsid w:val="009B7219"/>
    <w:rsid w:val="009B778D"/>
    <w:rsid w:val="009C310E"/>
    <w:rsid w:val="009C5F36"/>
    <w:rsid w:val="009C682B"/>
    <w:rsid w:val="009D0046"/>
    <w:rsid w:val="009D0726"/>
    <w:rsid w:val="009D27FA"/>
    <w:rsid w:val="009D35EF"/>
    <w:rsid w:val="009D5DD1"/>
    <w:rsid w:val="009D7C43"/>
    <w:rsid w:val="009E021F"/>
    <w:rsid w:val="009E092C"/>
    <w:rsid w:val="009E2971"/>
    <w:rsid w:val="009E6F3F"/>
    <w:rsid w:val="00A112D4"/>
    <w:rsid w:val="00A23C57"/>
    <w:rsid w:val="00A31B6C"/>
    <w:rsid w:val="00A32DAD"/>
    <w:rsid w:val="00A361BC"/>
    <w:rsid w:val="00A4041E"/>
    <w:rsid w:val="00A4166F"/>
    <w:rsid w:val="00A4583E"/>
    <w:rsid w:val="00A5471A"/>
    <w:rsid w:val="00A65F25"/>
    <w:rsid w:val="00A704B4"/>
    <w:rsid w:val="00A72152"/>
    <w:rsid w:val="00A76C73"/>
    <w:rsid w:val="00A921A3"/>
    <w:rsid w:val="00A9421D"/>
    <w:rsid w:val="00A953C5"/>
    <w:rsid w:val="00AA6E45"/>
    <w:rsid w:val="00AC2C7E"/>
    <w:rsid w:val="00AD0462"/>
    <w:rsid w:val="00AD0D6A"/>
    <w:rsid w:val="00AD15C1"/>
    <w:rsid w:val="00AD2FC6"/>
    <w:rsid w:val="00AD3083"/>
    <w:rsid w:val="00AE4777"/>
    <w:rsid w:val="00B01925"/>
    <w:rsid w:val="00B10F4C"/>
    <w:rsid w:val="00B11ECA"/>
    <w:rsid w:val="00B162D9"/>
    <w:rsid w:val="00B173C4"/>
    <w:rsid w:val="00B17887"/>
    <w:rsid w:val="00B23301"/>
    <w:rsid w:val="00B27F36"/>
    <w:rsid w:val="00B33009"/>
    <w:rsid w:val="00B34147"/>
    <w:rsid w:val="00B3773A"/>
    <w:rsid w:val="00B41C5D"/>
    <w:rsid w:val="00B46FFF"/>
    <w:rsid w:val="00B47F68"/>
    <w:rsid w:val="00B47FF6"/>
    <w:rsid w:val="00B546A2"/>
    <w:rsid w:val="00B611DE"/>
    <w:rsid w:val="00B62E48"/>
    <w:rsid w:val="00B657B1"/>
    <w:rsid w:val="00B7120B"/>
    <w:rsid w:val="00B73651"/>
    <w:rsid w:val="00B8549C"/>
    <w:rsid w:val="00B86758"/>
    <w:rsid w:val="00B86F86"/>
    <w:rsid w:val="00B91070"/>
    <w:rsid w:val="00B9323D"/>
    <w:rsid w:val="00B932D8"/>
    <w:rsid w:val="00B94641"/>
    <w:rsid w:val="00BA65B5"/>
    <w:rsid w:val="00BB3D09"/>
    <w:rsid w:val="00BB6B6C"/>
    <w:rsid w:val="00BC649E"/>
    <w:rsid w:val="00BD303A"/>
    <w:rsid w:val="00BE0CE5"/>
    <w:rsid w:val="00BE17AE"/>
    <w:rsid w:val="00BE2798"/>
    <w:rsid w:val="00BE5E63"/>
    <w:rsid w:val="00BF6D9B"/>
    <w:rsid w:val="00BF7778"/>
    <w:rsid w:val="00C02509"/>
    <w:rsid w:val="00C04566"/>
    <w:rsid w:val="00C10178"/>
    <w:rsid w:val="00C16ACB"/>
    <w:rsid w:val="00C37CEE"/>
    <w:rsid w:val="00C41D69"/>
    <w:rsid w:val="00C5668B"/>
    <w:rsid w:val="00C570FF"/>
    <w:rsid w:val="00C57DEF"/>
    <w:rsid w:val="00C65B2C"/>
    <w:rsid w:val="00C66147"/>
    <w:rsid w:val="00C73B7F"/>
    <w:rsid w:val="00C8561A"/>
    <w:rsid w:val="00C87A97"/>
    <w:rsid w:val="00C9391E"/>
    <w:rsid w:val="00C9714E"/>
    <w:rsid w:val="00CA1E83"/>
    <w:rsid w:val="00CA25F6"/>
    <w:rsid w:val="00CA69A4"/>
    <w:rsid w:val="00CA7E3B"/>
    <w:rsid w:val="00CB4D01"/>
    <w:rsid w:val="00CC0709"/>
    <w:rsid w:val="00CC6860"/>
    <w:rsid w:val="00CC7B77"/>
    <w:rsid w:val="00CD0A64"/>
    <w:rsid w:val="00CD72AB"/>
    <w:rsid w:val="00CE1080"/>
    <w:rsid w:val="00CE696F"/>
    <w:rsid w:val="00CF3DB7"/>
    <w:rsid w:val="00CF7C73"/>
    <w:rsid w:val="00D00F25"/>
    <w:rsid w:val="00D11768"/>
    <w:rsid w:val="00D127FF"/>
    <w:rsid w:val="00D203D1"/>
    <w:rsid w:val="00D229F0"/>
    <w:rsid w:val="00D23231"/>
    <w:rsid w:val="00D274E8"/>
    <w:rsid w:val="00D278ED"/>
    <w:rsid w:val="00D30C57"/>
    <w:rsid w:val="00D313EB"/>
    <w:rsid w:val="00D407CC"/>
    <w:rsid w:val="00D44257"/>
    <w:rsid w:val="00D460A3"/>
    <w:rsid w:val="00D50F9A"/>
    <w:rsid w:val="00D52E6E"/>
    <w:rsid w:val="00D67099"/>
    <w:rsid w:val="00D7066A"/>
    <w:rsid w:val="00D77703"/>
    <w:rsid w:val="00D85A00"/>
    <w:rsid w:val="00D913EC"/>
    <w:rsid w:val="00D930BF"/>
    <w:rsid w:val="00D93FA5"/>
    <w:rsid w:val="00DC638E"/>
    <w:rsid w:val="00DC7B2C"/>
    <w:rsid w:val="00DD02AF"/>
    <w:rsid w:val="00DD3097"/>
    <w:rsid w:val="00DD4D04"/>
    <w:rsid w:val="00DE1729"/>
    <w:rsid w:val="00DE21FC"/>
    <w:rsid w:val="00DE71C1"/>
    <w:rsid w:val="00DF53FE"/>
    <w:rsid w:val="00E0452C"/>
    <w:rsid w:val="00E06A2D"/>
    <w:rsid w:val="00E252F7"/>
    <w:rsid w:val="00E30C5D"/>
    <w:rsid w:val="00E321FC"/>
    <w:rsid w:val="00E3295F"/>
    <w:rsid w:val="00E33671"/>
    <w:rsid w:val="00E35DC9"/>
    <w:rsid w:val="00E3608A"/>
    <w:rsid w:val="00E467AD"/>
    <w:rsid w:val="00E5028A"/>
    <w:rsid w:val="00E50CB5"/>
    <w:rsid w:val="00E51588"/>
    <w:rsid w:val="00E67390"/>
    <w:rsid w:val="00E7742B"/>
    <w:rsid w:val="00E77658"/>
    <w:rsid w:val="00E81E27"/>
    <w:rsid w:val="00E83183"/>
    <w:rsid w:val="00E84F40"/>
    <w:rsid w:val="00E87E44"/>
    <w:rsid w:val="00EA004D"/>
    <w:rsid w:val="00EA03E5"/>
    <w:rsid w:val="00EA4880"/>
    <w:rsid w:val="00EA4B76"/>
    <w:rsid w:val="00EB24BB"/>
    <w:rsid w:val="00EB2837"/>
    <w:rsid w:val="00EC22F5"/>
    <w:rsid w:val="00EC6688"/>
    <w:rsid w:val="00ED0B31"/>
    <w:rsid w:val="00ED1745"/>
    <w:rsid w:val="00ED7956"/>
    <w:rsid w:val="00EE1091"/>
    <w:rsid w:val="00EE57D6"/>
    <w:rsid w:val="00EE619A"/>
    <w:rsid w:val="00EF26B5"/>
    <w:rsid w:val="00EF5E0E"/>
    <w:rsid w:val="00F038D7"/>
    <w:rsid w:val="00F12CF9"/>
    <w:rsid w:val="00F13521"/>
    <w:rsid w:val="00F22107"/>
    <w:rsid w:val="00F254F8"/>
    <w:rsid w:val="00F3080A"/>
    <w:rsid w:val="00F311EF"/>
    <w:rsid w:val="00F318DD"/>
    <w:rsid w:val="00F35CBC"/>
    <w:rsid w:val="00F44081"/>
    <w:rsid w:val="00F50A61"/>
    <w:rsid w:val="00F641D5"/>
    <w:rsid w:val="00F74DFD"/>
    <w:rsid w:val="00F803B2"/>
    <w:rsid w:val="00F81501"/>
    <w:rsid w:val="00F9114A"/>
    <w:rsid w:val="00F96907"/>
    <w:rsid w:val="00FA1F0A"/>
    <w:rsid w:val="00FA515C"/>
    <w:rsid w:val="00FA5750"/>
    <w:rsid w:val="00FB45C7"/>
    <w:rsid w:val="00FB5C0E"/>
    <w:rsid w:val="00FB72B3"/>
    <w:rsid w:val="00FC07DE"/>
    <w:rsid w:val="00FC1F10"/>
    <w:rsid w:val="00FC2BC2"/>
    <w:rsid w:val="00FC5603"/>
    <w:rsid w:val="00FC57BC"/>
    <w:rsid w:val="00FC7EDA"/>
    <w:rsid w:val="00FD19CB"/>
    <w:rsid w:val="00FD277C"/>
    <w:rsid w:val="00FF5076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BCF6"/>
  <w15:docId w15:val="{BD8A4EB5-94A0-4476-AD79-BE0497B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778D"/>
    <w:rPr>
      <w:sz w:val="22"/>
    </w:rPr>
  </w:style>
  <w:style w:type="paragraph" w:styleId="Nadpis1">
    <w:name w:val="heading 1"/>
    <w:basedOn w:val="Normln"/>
    <w:next w:val="Normln"/>
    <w:qFormat/>
    <w:rsid w:val="00D44257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442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D44257"/>
    <w:pPr>
      <w:numPr>
        <w:ilvl w:val="4"/>
        <w:numId w:val="1"/>
      </w:numPr>
      <w:spacing w:before="240" w:after="6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B183D"/>
    <w:rPr>
      <w:b/>
      <w:bCs/>
    </w:rPr>
  </w:style>
  <w:style w:type="character" w:customStyle="1" w:styleId="platne1">
    <w:name w:val="platne1"/>
    <w:rsid w:val="009B183D"/>
    <w:rPr>
      <w:rFonts w:cs="Times New Roman"/>
    </w:rPr>
  </w:style>
  <w:style w:type="paragraph" w:styleId="Zhlav">
    <w:name w:val="header"/>
    <w:basedOn w:val="Normln"/>
    <w:link w:val="ZhlavChar"/>
    <w:rsid w:val="009B183D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link w:val="Zhlav"/>
    <w:rsid w:val="009B183D"/>
    <w:rPr>
      <w:sz w:val="22"/>
      <w:lang w:val="en-GB"/>
    </w:rPr>
  </w:style>
  <w:style w:type="paragraph" w:styleId="Zpat">
    <w:name w:val="footer"/>
    <w:basedOn w:val="Normln"/>
    <w:link w:val="ZpatChar"/>
    <w:rsid w:val="009B183D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link w:val="Zpat"/>
    <w:rsid w:val="009B183D"/>
    <w:rPr>
      <w:sz w:val="22"/>
      <w:lang w:val="en-GB"/>
    </w:rPr>
  </w:style>
  <w:style w:type="character" w:styleId="slostrnky">
    <w:name w:val="page number"/>
    <w:rsid w:val="009B183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B110C"/>
    <w:pPr>
      <w:ind w:left="708"/>
    </w:pPr>
  </w:style>
  <w:style w:type="character" w:styleId="Odkaznakoment">
    <w:name w:val="annotation reference"/>
    <w:rsid w:val="00F440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4081"/>
    <w:rPr>
      <w:sz w:val="20"/>
      <w:lang w:val="en-GB"/>
    </w:rPr>
  </w:style>
  <w:style w:type="character" w:customStyle="1" w:styleId="TextkomenteChar">
    <w:name w:val="Text komentáře Char"/>
    <w:link w:val="Textkomente"/>
    <w:rsid w:val="00F44081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F44081"/>
    <w:rPr>
      <w:b/>
      <w:bCs/>
    </w:rPr>
  </w:style>
  <w:style w:type="character" w:customStyle="1" w:styleId="PedmtkomenteChar">
    <w:name w:val="Předmět komentáře Char"/>
    <w:link w:val="Pedmtkomente"/>
    <w:rsid w:val="00F44081"/>
    <w:rPr>
      <w:b/>
      <w:bCs/>
      <w:lang w:val="en-GB"/>
    </w:rPr>
  </w:style>
  <w:style w:type="paragraph" w:styleId="Textbubliny">
    <w:name w:val="Balloon Text"/>
    <w:basedOn w:val="Normln"/>
    <w:link w:val="TextbublinyChar"/>
    <w:rsid w:val="00F44081"/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rsid w:val="00F44081"/>
    <w:rPr>
      <w:rFonts w:ascii="Tahoma" w:hAnsi="Tahoma" w:cs="Tahoma"/>
      <w:sz w:val="16"/>
      <w:szCs w:val="16"/>
      <w:lang w:val="en-GB"/>
    </w:rPr>
  </w:style>
  <w:style w:type="paragraph" w:styleId="Revize">
    <w:name w:val="Revision"/>
    <w:hidden/>
    <w:uiPriority w:val="99"/>
    <w:semiHidden/>
    <w:rsid w:val="005B5B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OSTATNI\PRAZDD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PRAZDDOK.DOT</Template>
  <TotalTime>210</TotalTime>
  <Pages>3</Pages>
  <Words>493</Words>
  <Characters>2887</Characters>
  <Application>Microsoft Office Word</Application>
  <DocSecurity>0</DocSecurity>
  <Lines>82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 - JPO</dc:creator>
  <cp:keywords/>
  <cp:lastModifiedBy>Travnicek Tomas</cp:lastModifiedBy>
  <cp:revision>17</cp:revision>
  <cp:lastPrinted>2015-09-29T10:11:00Z</cp:lastPrinted>
  <dcterms:created xsi:type="dcterms:W3CDTF">2018-10-15T13:38:00Z</dcterms:created>
  <dcterms:modified xsi:type="dcterms:W3CDTF">2018-10-24T16:15:00Z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4273466</vt:i4>
  </property>
</Properties>
</file>